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AF7A4E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22.08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79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 xml:space="preserve"> 79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 xml:space="preserve"> 22.08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AF7A4E" w:rsidRPr="00BB0431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Хорошковского сельского поселения от </w:t>
      </w:r>
      <w:r w:rsidR="00AF7A4E">
        <w:rPr>
          <w:rFonts w:ascii="Times New Roman" w:hAnsi="Times New Roman" w:cs="Times New Roman"/>
          <w:sz w:val="24"/>
          <w:szCs w:val="24"/>
        </w:rPr>
        <w:t>29.04.2021 № 57 «</w:t>
      </w:r>
      <w:r w:rsidR="00AF7A4E" w:rsidRPr="00BB0431">
        <w:rPr>
          <w:rFonts w:ascii="Times New Roman" w:hAnsi="Times New Roman" w:cs="Times New Roman"/>
          <w:sz w:val="24"/>
          <w:szCs w:val="24"/>
        </w:rPr>
        <w:t>Об утверждении Порядка проведения конкурсного отбора инициативных проектов для реализации на территории, части территории Хо</w:t>
      </w:r>
      <w:r w:rsidR="00AF7A4E">
        <w:rPr>
          <w:rFonts w:ascii="Times New Roman" w:hAnsi="Times New Roman" w:cs="Times New Roman"/>
          <w:sz w:val="24"/>
          <w:szCs w:val="24"/>
        </w:rPr>
        <w:t>рошковского сельского поселения</w:t>
      </w:r>
      <w:r w:rsidR="00AF7A4E" w:rsidRPr="00BB0431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AF7A4E" w:rsidRPr="00AF7A4E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</w:t>
      </w:r>
      <w:r w:rsidR="00AF7A4E">
        <w:rPr>
          <w:rFonts w:ascii="Times New Roman" w:hAnsi="Times New Roman" w:cs="Times New Roman"/>
          <w:sz w:val="24"/>
          <w:szCs w:val="24"/>
        </w:rPr>
        <w:t xml:space="preserve"> поселения от 29.04.2021 № 57 «</w:t>
      </w:r>
      <w:bookmarkStart w:id="0" w:name="_GoBack"/>
      <w:bookmarkEnd w:id="0"/>
      <w:r w:rsidR="00AF7A4E" w:rsidRPr="00AF7A4E">
        <w:rPr>
          <w:rFonts w:ascii="Times New Roman" w:hAnsi="Times New Roman" w:cs="Times New Roman"/>
          <w:sz w:val="24"/>
          <w:szCs w:val="24"/>
        </w:rPr>
        <w:t>Об утверждении Порядка проведения конкурсного отбора инициативных проектов для реализации на территории, части территории Хо</w:t>
      </w:r>
      <w:r w:rsidR="00AF7A4E">
        <w:rPr>
          <w:rFonts w:ascii="Times New Roman" w:hAnsi="Times New Roman" w:cs="Times New Roman"/>
          <w:sz w:val="24"/>
          <w:szCs w:val="24"/>
        </w:rPr>
        <w:t>рошковского сельского поселения</w:t>
      </w:r>
      <w:r w:rsidR="00AF7A4E" w:rsidRPr="00AF7A4E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A207A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D830C-15C6-47F7-9AF3-89AA8279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224</cp:revision>
  <cp:lastPrinted>2024-03-19T09:55:00Z</cp:lastPrinted>
  <dcterms:created xsi:type="dcterms:W3CDTF">2018-04-18T05:05:00Z</dcterms:created>
  <dcterms:modified xsi:type="dcterms:W3CDTF">2025-04-10T09:26:00Z</dcterms:modified>
</cp:coreProperties>
</file>